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75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30"/>
          <w:shd w:fill="auto" w:val="clear"/>
        </w:rPr>
      </w:pPr>
    </w:p>
    <w:p>
      <w:pPr>
        <w:spacing w:before="0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32"/>
          <w:shd w:fill="FFFFFF" w:val="clear"/>
        </w:rPr>
        <w:t xml:space="preserve">Кемеровская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FFFFFF" w:val="clear"/>
        </w:rPr>
        <w:t xml:space="preserve"> </w:t>
      </w:r>
      <w:r>
        <w:rPr>
          <w:rFonts w:ascii="Calibri" w:hAnsi="Calibri" w:cs="Calibri" w:eastAsia="Calibri"/>
          <w:color w:val="004DBB"/>
          <w:spacing w:val="0"/>
          <w:position w:val="0"/>
          <w:sz w:val="32"/>
          <w:shd w:fill="FFFFFF" w:val="clear"/>
        </w:rPr>
        <w:t xml:space="preserve">область</w:t>
      </w:r>
    </w:p>
    <w:p>
      <w:pPr>
        <w:spacing w:before="101" w:after="10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32"/>
          <w:shd w:fill="FFFFFF" w:val="clear"/>
        </w:rPr>
        <w:t xml:space="preserve">Ижморский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FFFFFF" w:val="clear"/>
        </w:rPr>
        <w:t xml:space="preserve"> </w:t>
      </w:r>
      <w:r>
        <w:rPr>
          <w:rFonts w:ascii="Calibri" w:hAnsi="Calibri" w:cs="Calibri" w:eastAsia="Calibri"/>
          <w:color w:val="004DBB"/>
          <w:spacing w:val="0"/>
          <w:position w:val="0"/>
          <w:sz w:val="32"/>
          <w:shd w:fill="FFFFFF" w:val="clear"/>
        </w:rPr>
        <w:t xml:space="preserve">район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144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36"/>
          <w:shd w:fill="FFFFFF" w:val="clear"/>
        </w:rPr>
        <w:t xml:space="preserve">План работы РМО</w:t>
      </w:r>
    </w:p>
    <w:p>
      <w:pPr>
        <w:spacing w:before="100" w:after="144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36"/>
          <w:shd w:fill="FFFFFF" w:val="clear"/>
        </w:rPr>
        <w:t xml:space="preserve">учителей гуманитарного цикла и курса ОРКСЭ</w:t>
      </w:r>
    </w:p>
    <w:p>
      <w:pPr>
        <w:spacing w:before="10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144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36"/>
          <w:shd w:fill="FFFFFF" w:val="clear"/>
        </w:rPr>
        <w:t xml:space="preserve">на 2018/2019 учебный год</w:t>
      </w:r>
    </w:p>
    <w:p>
      <w:pPr>
        <w:spacing w:before="100" w:after="144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8"/>
          <w:shd w:fill="FFFFFF" w:val="clear"/>
        </w:rPr>
        <w:t xml:space="preserve">Руководитель РМО: Сморокова Н.В.,</w:t>
      </w:r>
    </w:p>
    <w:p>
      <w:pPr>
        <w:spacing w:before="100" w:after="144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8"/>
          <w:shd w:fill="FFFFFF" w:val="clear"/>
        </w:rPr>
        <w:t xml:space="preserve">учитель русского языка и литературы</w:t>
      </w:r>
    </w:p>
    <w:p>
      <w:pPr>
        <w:spacing w:before="100" w:after="24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144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00" w:after="144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0"/>
          <w:shd w:fill="FFFFFF" w:val="clear"/>
        </w:rPr>
        <w:t xml:space="preserve">пгт. Ижморский, 2018 г.</w:t>
      </w:r>
    </w:p>
    <w:p>
      <w:pPr>
        <w:tabs>
          <w:tab w:val="left" w:pos="195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Совершенствование языкового уровня при помощи информационно – коммуникационных технологий как средство повышения мотивации в изучении русского языка, литературы и иностранных языков".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работы по ФГОС.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Повысить качество обучения.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Обновить содержание образования и форм учебно-воспитательного процесса в связи с введением ФГОС.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Продолжить внедрение в практику работы учителей технологий, направленных на формирование компетентностей обучающихся: технологию развития критического мышления, ИТК, игровые технологии, технологию проблемного обучения, метод проектов, метод самостоятельной работы.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Накопить дидактический материал соответствующий новым ФГОС.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Создать новую образовательную среду в соответствии с личностно-ориентированным, деятельностным и компетентностными подходами.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Систематизировать представление обобщѐнного опыта учителей перед коллегами внутри школы и вне еѐ.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Расширить опыт проектной деятельности.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Создать инновационное структурное объединение для системной поддержки и сопровождения: одаренных и высокомотивированных обучающихся, а также испытывающих затруднения в обучении.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психолого-педагогическую поддержку слабоуспевающих учащихся.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Совершенствовать современные педагогические методы и технологии обучения, контроль и оценивание. 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Подготовить обучающихся к сдаче ОГЭ и ЕГЭ по русскому языку, литературе и иностранным языкам с использованием ИКТ и современных форм и методов обучения.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Развивать профессиональную компетентность и аналитическую деятельность учителей.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Направления работы МО: </w:t>
      </w:r>
    </w:p>
    <w:p>
      <w:pPr>
        <w:numPr>
          <w:ilvl w:val="0"/>
          <w:numId w:val="16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Повышение квалификации педагогов </w:t>
      </w:r>
    </w:p>
    <w:p>
      <w:pPr>
        <w:numPr>
          <w:ilvl w:val="0"/>
          <w:numId w:val="16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Аттестация педагогов </w:t>
      </w:r>
    </w:p>
    <w:p>
      <w:pPr>
        <w:numPr>
          <w:ilvl w:val="0"/>
          <w:numId w:val="16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Изучение и внедрение новых педагогических технологий </w:t>
      </w:r>
    </w:p>
    <w:p>
      <w:pPr>
        <w:numPr>
          <w:ilvl w:val="0"/>
          <w:numId w:val="16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Работа с одаренными детьми </w:t>
      </w:r>
    </w:p>
    <w:p>
      <w:pPr>
        <w:numPr>
          <w:ilvl w:val="0"/>
          <w:numId w:val="16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Распространение педагогического опыта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Мониторинг качества знаний учащихся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молодыми специалистами.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Активное участие педагогов в конкурсах педагогического мастерства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Ожидаемые результаты: </w:t>
      </w:r>
    </w:p>
    <w:p>
      <w:pPr>
        <w:numPr>
          <w:ilvl w:val="0"/>
          <w:numId w:val="19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Повышение уровня профессиональной компетентности педагогов. </w:t>
      </w:r>
    </w:p>
    <w:p>
      <w:pPr>
        <w:numPr>
          <w:ilvl w:val="0"/>
          <w:numId w:val="19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Совершенствование учебного процесса в рамках реализации проекта модернизации общего образования. </w:t>
      </w:r>
    </w:p>
    <w:p>
      <w:pPr>
        <w:numPr>
          <w:ilvl w:val="0"/>
          <w:numId w:val="19"/>
        </w:numPr>
        <w:spacing w:before="0" w:after="97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Повышение интереса учителей к обобщению и распространению педагогического опыта. </w:t>
      </w:r>
    </w:p>
    <w:p>
      <w:pPr>
        <w:pageBreakBefore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ПРИОРИТЕТНЫЕ НАПРАВЛЕНИЯ РАБОТЫ  РМО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Раннее обучение и преемственность на всех этапах обучения.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Проектные технологии в обучении как средство повышения мотивации учащихся в изучении языка и развития творческой и исследовательской деятельности учащихся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Применение компьютерных технологий и электронных продуктов при обучении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для профессионального роста и развития уровня профессиональной компетенции учителей в условиях модернизации школьного образования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для эффективного овладения учащимися учебными стратегиями и умениями и развития их творческих способностей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Использование новых, современных УМК и пособий российских и британских авторов в преподавании английского языка.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ПЛАН РАБОТЫ ЗАСЕДАНИЙ МО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648"/>
        <w:gridCol w:w="2237"/>
        <w:gridCol w:w="1357"/>
        <w:gridCol w:w="2728"/>
        <w:gridCol w:w="1353"/>
        <w:gridCol w:w="2061"/>
        <w:gridCol w:w="357"/>
      </w:tblGrid>
      <w:tr>
        <w:trPr>
          <w:trHeight w:val="371" w:hRule="auto"/>
          <w:jc w:val="left"/>
        </w:trPr>
        <w:tc>
          <w:tcPr>
            <w:tcW w:w="28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</w:t>
            </w:r>
          </w:p>
        </w:tc>
        <w:tc>
          <w:tcPr>
            <w:tcW w:w="54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заседания </w:t>
            </w:r>
          </w:p>
        </w:tc>
        <w:tc>
          <w:tcPr>
            <w:tcW w:w="2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работы </w:t>
            </w:r>
          </w:p>
        </w:tc>
      </w:tr>
      <w:tr>
        <w:trPr>
          <w:trHeight w:val="1817" w:hRule="auto"/>
          <w:jc w:val="left"/>
        </w:trPr>
        <w:tc>
          <w:tcPr>
            <w:tcW w:w="28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54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Заседание МО №1.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FFFFFF" w:val="clear"/>
              </w:rPr>
              <w:t xml:space="preserve">СОВРЕМЕННЫЕ ТЕХНОЛОГИИ ОБУЧЕНИЯ КАК СРЕДСТВО ПОВЫШЕНИЯ КАЧЕСТВА ОБРАЗОВАНИЯ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проектной технологии во внеурочной деятельности. (Н.Н. Брюханова, учитель русского языка и литературы  МБОУ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Ижморская СОШ №1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»).</w:t>
            </w:r>
          </w:p>
          <w:p>
            <w:pPr>
              <w:tabs>
                <w:tab w:val="left" w:pos="1020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Эффективные способы изучения  английских слов в сочетании с элементами современных  технологий обучения  ". ( О.В. Медведева, учитель английского языка  МБОУ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Ижморская СОШ №1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 кейс-технологии как метода организации проблемного обучения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уроках. (Н.В. Сморокова , учитель русского языка и литературы  МБОУ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Ижморская СОШ №1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Рассмотрение плана работы МО на 2018-2018 учебный год.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Рассмотрение рабочих программ.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 участии в Общероссийской предметной олимпиаде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Олимпус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Лисѐнок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Инфоурок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</w:p>
        </w:tc>
      </w:tr>
      <w:tr>
        <w:trPr>
          <w:trHeight w:val="1576" w:hRule="auto"/>
          <w:jc w:val="left"/>
        </w:trPr>
        <w:tc>
          <w:tcPr>
            <w:tcW w:w="28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 </w:t>
            </w:r>
          </w:p>
        </w:tc>
        <w:tc>
          <w:tcPr>
            <w:tcW w:w="54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Заседание МО №2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Организация и содержание оценки профессионализма педагогических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 руководящих работников в рамках процедур аттестации и сертификации</w:t>
            </w:r>
          </w:p>
          <w:p>
            <w:pPr>
              <w:numPr>
                <w:ilvl w:val="0"/>
                <w:numId w:val="39"/>
              </w:numPr>
              <w:spacing w:before="0" w:after="20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Оценочные процедуры в отношении профессионализма работников образования.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адаптивной среды на уроках английского языка через использование здоровьесберегающих технологий.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Утверждение тем по самообразованию учителей РМО. 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5"/>
              </w:numPr>
              <w:spacing w:before="0" w:after="221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Психолого-педагогическую поддержка слабоуспевающих учащихся. (Психолог школы).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Диагностика детской отсталости.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участия школьников в первом этапе Всероссийской олимпиады по русскому языку, литературе и английскому языку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технологическими картами урока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подготовки учащихся 11 классов к итоговому сочинению.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5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2 этапа Всероссийской олимпиады по школьников по русскому языку, литературе и английскому языку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7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к международному конкурсу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Британский бульдог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Семинар</w:t>
            </w:r>
          </w:p>
        </w:tc>
      </w:tr>
      <w:tr>
        <w:trPr>
          <w:trHeight w:val="936" w:hRule="auto"/>
          <w:jc w:val="left"/>
        </w:trPr>
        <w:tc>
          <w:tcPr>
            <w:tcW w:w="28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Январь </w:t>
            </w:r>
          </w:p>
        </w:tc>
        <w:tc>
          <w:tcPr>
            <w:tcW w:w="54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Заседание МО №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Новые методы и технологии в обучении русскому, английскому, немецкому языкам в рамках ФГОС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4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над лингвистическим материалом с использованием компьютерных презентаций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4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подготовке к сдаче устной части экзамена по русскому языку.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68"/>
              </w:numPr>
              <w:spacing w:before="0" w:after="0" w:line="240"/>
              <w:ind w:right="0" w:left="4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Отчет учителей по теме самообразования.</w:t>
            </w:r>
          </w:p>
          <w:p>
            <w:pPr>
              <w:numPr>
                <w:ilvl w:val="0"/>
                <w:numId w:val="68"/>
              </w:numPr>
              <w:spacing w:before="0" w:after="0" w:line="240"/>
              <w:ind w:right="0" w:left="4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Уточнение и утверждение плана проведения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Дня науки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4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Федеральный государственный образовательный стандарт обучающихся с ОВЗ. Изучение нормативных документов.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4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42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Преподавание предмета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Основы православной культуры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» 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фактор духовно-нравственного развития и воспитания в контексте ФГОС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42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Творческий отчёт</w:t>
            </w:r>
          </w:p>
        </w:tc>
      </w:tr>
      <w:tr>
        <w:trPr>
          <w:trHeight w:val="1097" w:hRule="auto"/>
          <w:jc w:val="left"/>
        </w:trPr>
        <w:tc>
          <w:tcPr>
            <w:tcW w:w="28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54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tabs>
                <w:tab w:val="left" w:pos="720" w:leader="none"/>
              </w:tabs>
              <w:spacing w:before="0" w:after="0" w:line="240"/>
              <w:ind w:right="108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Заседание № 4</w:t>
            </w:r>
          </w:p>
          <w:p>
            <w:pPr>
              <w:spacing w:before="0" w:after="0" w:line="240"/>
              <w:ind w:right="108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80" w:left="7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читательской компетенции как фактор нравственного развития в контексте ФГОС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готовности выпускников к сдаче ОГЭ и ЕГЭ. Изучение демоверсий.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Arial" w:hAnsi="Arial" w:cs="Arial" w:eastAsia="Arial"/>
                <w:color w:val="333333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4"/>
                <w:shd w:fill="FFFFFF" w:val="clear"/>
              </w:rPr>
              <w:t xml:space="preserve">2. 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4"/>
                <w:shd w:fill="FFFFFF" w:val="clear"/>
              </w:rPr>
              <w:t xml:space="preserve">Работа с текстом  как средство формирования УУД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результатов итоговых сочинений по литературе в 11 классе.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Нормативно-правовое и учебно-методическое обеспечение преподавания иностранных языков в учреждении общего среднего образования в 2018/2019 учебном году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итогов успеваемости учащихся и выполнения практической части рабочих программ.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FFFFFF" w:val="clear"/>
              </w:rPr>
              <w:t xml:space="preserve">«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FFFFFF" w:val="clear"/>
              </w:rPr>
              <w:t xml:space="preserve">Портфолио как инструмент формирования ключевых компетенций, оценки и рефлексии деятельности учителя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работы за год.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1013" w:hRule="auto"/>
          <w:jc w:val="left"/>
        </w:trPr>
        <w:tc>
          <w:tcPr>
            <w:tcW w:w="28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5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2060"/>
                <w:spacing w:val="0"/>
                <w:position w:val="0"/>
                <w:sz w:val="24"/>
                <w:shd w:fill="auto" w:val="clear"/>
              </w:rPr>
              <w:t xml:space="preserve">Презентации педагогического опыта  учителей района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34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 время МО</w:t>
            </w:r>
          </w:p>
        </w:tc>
      </w:tr>
      <w:tr>
        <w:trPr>
          <w:trHeight w:val="146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5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педагогов-филологов в  конкурсах, выставках, фестивалях профессионального мастерства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Выставки,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фестивали, конкурсы</w:t>
            </w:r>
          </w:p>
        </w:tc>
        <w:tc>
          <w:tcPr>
            <w:tcW w:w="34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Согласно плану</w:t>
            </w:r>
          </w:p>
        </w:tc>
      </w:tr>
      <w:tr>
        <w:trPr>
          <w:trHeight w:val="146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35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школьников в предметных олимпиадах, творческих конкурсах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Олимпиады,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творческие конкурсы</w:t>
            </w:r>
          </w:p>
        </w:tc>
        <w:tc>
          <w:tcPr>
            <w:tcW w:w="34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Согласно плану</w:t>
            </w:r>
          </w:p>
        </w:tc>
      </w:tr>
      <w:tr>
        <w:trPr>
          <w:trHeight w:val="3279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категории; наставничество над молодыми специалистами 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Курсы повышения квалификации,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аттестация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Согласно плану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6">
    <w:abstractNumId w:val="102"/>
  </w:num>
  <w:num w:numId="19">
    <w:abstractNumId w:val="96"/>
  </w:num>
  <w:num w:numId="39">
    <w:abstractNumId w:val="90"/>
  </w:num>
  <w:num w:numId="41">
    <w:abstractNumId w:val="84"/>
  </w:num>
  <w:num w:numId="43">
    <w:abstractNumId w:val="78"/>
  </w:num>
  <w:num w:numId="45">
    <w:abstractNumId w:val="72"/>
  </w:num>
  <w:num w:numId="47">
    <w:abstractNumId w:val="66"/>
  </w:num>
  <w:num w:numId="49">
    <w:abstractNumId w:val="60"/>
  </w:num>
  <w:num w:numId="51">
    <w:abstractNumId w:val="54"/>
  </w:num>
  <w:num w:numId="53">
    <w:abstractNumId w:val="48"/>
  </w:num>
  <w:num w:numId="55">
    <w:abstractNumId w:val="42"/>
  </w:num>
  <w:num w:numId="57">
    <w:abstractNumId w:val="36"/>
  </w:num>
  <w:num w:numId="64">
    <w:abstractNumId w:val="30"/>
  </w:num>
  <w:num w:numId="66">
    <w:abstractNumId w:val="24"/>
  </w:num>
  <w:num w:numId="68">
    <w:abstractNumId w:val="18"/>
  </w:num>
  <w:num w:numId="71">
    <w:abstractNumId w:val="12"/>
  </w:num>
  <w:num w:numId="77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